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dxa"/>
        <w:tblCellSpacing w:w="15" w:type="dxa"/>
        <w:shd w:val="clear" w:color="auto" w:fill="FFFFFF"/>
        <w:tblCellMar>
          <w:left w:w="0" w:type="dxa"/>
          <w:right w:w="0" w:type="dxa"/>
        </w:tblCellMar>
        <w:tblLook w:val="04A0"/>
      </w:tblPr>
      <w:tblGrid>
        <w:gridCol w:w="4787"/>
        <w:gridCol w:w="330"/>
        <w:gridCol w:w="300"/>
        <w:gridCol w:w="315"/>
      </w:tblGrid>
      <w:tr w:rsidR="0059432E" w:rsidRPr="0059432E" w:rsidTr="0059432E">
        <w:trPr>
          <w:tblCellSpacing w:w="15" w:type="dxa"/>
        </w:trPr>
        <w:tc>
          <w:tcPr>
            <w:tcW w:w="5000" w:type="pct"/>
            <w:shd w:val="clear" w:color="auto" w:fill="FFFFFF"/>
            <w:tcMar>
              <w:top w:w="75" w:type="dxa"/>
              <w:left w:w="0" w:type="dxa"/>
              <w:bottom w:w="75" w:type="dxa"/>
              <w:right w:w="0" w:type="dxa"/>
            </w:tcMar>
            <w:vAlign w:val="center"/>
            <w:hideMark/>
          </w:tcPr>
          <w:p w:rsidR="0059432E" w:rsidRPr="0059432E" w:rsidRDefault="0059432E" w:rsidP="0059432E">
            <w:pPr>
              <w:spacing w:after="0" w:line="488" w:lineRule="atLeast"/>
              <w:rPr>
                <w:rFonts w:ascii="Arial Narrow" w:eastAsia="Times New Roman" w:hAnsi="Arial Narrow" w:cs="Arial"/>
                <w:b/>
                <w:bCs/>
                <w:color w:val="F04600"/>
                <w:sz w:val="49"/>
                <w:szCs w:val="49"/>
                <w:lang w:eastAsia="hr-HR"/>
              </w:rPr>
            </w:pPr>
            <w:r w:rsidRPr="0059432E">
              <w:rPr>
                <w:rFonts w:ascii="Arial Narrow" w:eastAsia="Times New Roman" w:hAnsi="Arial Narrow" w:cs="Arial"/>
                <w:b/>
                <w:bCs/>
                <w:color w:val="F04600"/>
                <w:sz w:val="49"/>
                <w:szCs w:val="49"/>
                <w:lang w:eastAsia="hr-HR"/>
              </w:rPr>
              <w:t>Poslovnik Nadzornog odbora</w:t>
            </w:r>
          </w:p>
        </w:tc>
        <w:tc>
          <w:tcPr>
            <w:tcW w:w="5000" w:type="pct"/>
            <w:shd w:val="clear" w:color="auto" w:fill="FFFFFF"/>
            <w:tcMar>
              <w:top w:w="15" w:type="dxa"/>
              <w:left w:w="15" w:type="dxa"/>
              <w:bottom w:w="15" w:type="dxa"/>
              <w:right w:w="15" w:type="dxa"/>
            </w:tcMar>
            <w:vAlign w:val="center"/>
            <w:hideMark/>
          </w:tcPr>
          <w:p w:rsidR="0059432E" w:rsidRPr="0059432E" w:rsidRDefault="0059432E" w:rsidP="0059432E">
            <w:pPr>
              <w:spacing w:after="0" w:line="240" w:lineRule="auto"/>
              <w:jc w:val="right"/>
              <w:rPr>
                <w:rFonts w:ascii="Arial" w:eastAsia="Times New Roman" w:hAnsi="Arial" w:cs="Arial"/>
                <w:color w:val="646464"/>
                <w:sz w:val="20"/>
                <w:szCs w:val="20"/>
                <w:lang w:eastAsia="hr-HR"/>
              </w:rPr>
            </w:pPr>
            <w:r>
              <w:rPr>
                <w:rFonts w:ascii="Arial" w:eastAsia="Times New Roman" w:hAnsi="Arial" w:cs="Arial"/>
                <w:noProof/>
                <w:color w:val="FF3200"/>
                <w:sz w:val="20"/>
                <w:szCs w:val="20"/>
                <w:lang w:eastAsia="hr-HR"/>
              </w:rPr>
              <w:drawing>
                <wp:inline distT="0" distB="0" distL="0" distR="0">
                  <wp:extent cx="142875" cy="142875"/>
                  <wp:effectExtent l="19050" t="0" r="9525" b="0"/>
                  <wp:docPr id="1" name="Slika 1" descr="PDF">
                    <a:hlinkClick xmlns:a="http://schemas.openxmlformats.org/drawingml/2006/main" r:id="rId4" tooltip="&quot;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F">
                            <a:hlinkClick r:id="rId4" tooltip="&quot;PDF&quot;"/>
                          </pic:cNvPr>
                          <pic:cNvPicPr>
                            <a:picLocks noChangeAspect="1" noChangeArrowheads="1"/>
                          </pic:cNvPicPr>
                        </pic:nvPicPr>
                        <pic:blipFill>
                          <a:blip r:embed="rId5"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5000" w:type="pct"/>
            <w:shd w:val="clear" w:color="auto" w:fill="FFFFFF"/>
            <w:tcMar>
              <w:top w:w="15" w:type="dxa"/>
              <w:left w:w="15" w:type="dxa"/>
              <w:bottom w:w="15" w:type="dxa"/>
              <w:right w:w="15" w:type="dxa"/>
            </w:tcMar>
            <w:vAlign w:val="center"/>
            <w:hideMark/>
          </w:tcPr>
          <w:p w:rsidR="0059432E" w:rsidRPr="0059432E" w:rsidRDefault="0059432E" w:rsidP="0059432E">
            <w:pPr>
              <w:spacing w:after="0" w:line="240" w:lineRule="auto"/>
              <w:jc w:val="right"/>
              <w:rPr>
                <w:rFonts w:ascii="Arial" w:eastAsia="Times New Roman" w:hAnsi="Arial" w:cs="Arial"/>
                <w:color w:val="646464"/>
                <w:sz w:val="20"/>
                <w:szCs w:val="20"/>
                <w:lang w:eastAsia="hr-HR"/>
              </w:rPr>
            </w:pPr>
            <w:r>
              <w:rPr>
                <w:rFonts w:ascii="Arial" w:eastAsia="Times New Roman" w:hAnsi="Arial" w:cs="Arial"/>
                <w:noProof/>
                <w:color w:val="FF3200"/>
                <w:sz w:val="20"/>
                <w:szCs w:val="20"/>
                <w:lang w:eastAsia="hr-HR"/>
              </w:rPr>
              <w:drawing>
                <wp:inline distT="0" distB="0" distL="0" distR="0">
                  <wp:extent cx="133350" cy="142875"/>
                  <wp:effectExtent l="19050" t="0" r="0" b="0"/>
                  <wp:docPr id="2" name="Slika 2" descr="Ispis">
                    <a:hlinkClick xmlns:a="http://schemas.openxmlformats.org/drawingml/2006/main" r:id="rId6" tooltip="&quot;Ispi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pis">
                            <a:hlinkClick r:id="rId6" tooltip="&quot;Ispis&quot;"/>
                          </pic:cNvPr>
                          <pic:cNvPicPr>
                            <a:picLocks noChangeAspect="1" noChangeArrowheads="1"/>
                          </pic:cNvPicPr>
                        </pic:nvPicPr>
                        <pic:blipFill>
                          <a:blip r:embed="rId7" cstate="print"/>
                          <a:srcRect/>
                          <a:stretch>
                            <a:fillRect/>
                          </a:stretch>
                        </pic:blipFill>
                        <pic:spPr bwMode="auto">
                          <a:xfrm>
                            <a:off x="0" y="0"/>
                            <a:ext cx="133350" cy="142875"/>
                          </a:xfrm>
                          <a:prstGeom prst="rect">
                            <a:avLst/>
                          </a:prstGeom>
                          <a:noFill/>
                          <a:ln w="9525">
                            <a:noFill/>
                            <a:miter lim="800000"/>
                            <a:headEnd/>
                            <a:tailEnd/>
                          </a:ln>
                        </pic:spPr>
                      </pic:pic>
                    </a:graphicData>
                  </a:graphic>
                </wp:inline>
              </w:drawing>
            </w:r>
          </w:p>
        </w:tc>
        <w:tc>
          <w:tcPr>
            <w:tcW w:w="5000" w:type="pct"/>
            <w:shd w:val="clear" w:color="auto" w:fill="FFFFFF"/>
            <w:tcMar>
              <w:top w:w="15" w:type="dxa"/>
              <w:left w:w="15" w:type="dxa"/>
              <w:bottom w:w="15" w:type="dxa"/>
              <w:right w:w="15" w:type="dxa"/>
            </w:tcMar>
            <w:vAlign w:val="center"/>
            <w:hideMark/>
          </w:tcPr>
          <w:p w:rsidR="0059432E" w:rsidRPr="0059432E" w:rsidRDefault="0059432E" w:rsidP="0059432E">
            <w:pPr>
              <w:spacing w:after="0" w:line="240" w:lineRule="auto"/>
              <w:jc w:val="right"/>
              <w:rPr>
                <w:rFonts w:ascii="Arial" w:eastAsia="Times New Roman" w:hAnsi="Arial" w:cs="Arial"/>
                <w:color w:val="646464"/>
                <w:sz w:val="20"/>
                <w:szCs w:val="20"/>
                <w:lang w:eastAsia="hr-HR"/>
              </w:rPr>
            </w:pPr>
            <w:r>
              <w:rPr>
                <w:rFonts w:ascii="Arial" w:eastAsia="Times New Roman" w:hAnsi="Arial" w:cs="Arial"/>
                <w:noProof/>
                <w:color w:val="FF3200"/>
                <w:sz w:val="20"/>
                <w:szCs w:val="20"/>
                <w:lang w:eastAsia="hr-HR"/>
              </w:rPr>
              <w:drawing>
                <wp:inline distT="0" distB="0" distL="0" distR="0">
                  <wp:extent cx="133350" cy="142875"/>
                  <wp:effectExtent l="19050" t="0" r="0" b="0"/>
                  <wp:docPr id="3" name="Slika 3" descr="E-mail">
                    <a:hlinkClick xmlns:a="http://schemas.openxmlformats.org/drawingml/2006/main" r:id="rId8"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ail">
                            <a:hlinkClick r:id="rId8" tooltip="&quot;E-mail&quot;"/>
                          </pic:cNvPr>
                          <pic:cNvPicPr>
                            <a:picLocks noChangeAspect="1" noChangeArrowheads="1"/>
                          </pic:cNvPicPr>
                        </pic:nvPicPr>
                        <pic:blipFill>
                          <a:blip r:embed="rId9" cstate="print"/>
                          <a:srcRect/>
                          <a:stretch>
                            <a:fillRect/>
                          </a:stretch>
                        </pic:blipFill>
                        <pic:spPr bwMode="auto">
                          <a:xfrm>
                            <a:off x="0" y="0"/>
                            <a:ext cx="133350" cy="142875"/>
                          </a:xfrm>
                          <a:prstGeom prst="rect">
                            <a:avLst/>
                          </a:prstGeom>
                          <a:noFill/>
                          <a:ln w="9525">
                            <a:noFill/>
                            <a:miter lim="800000"/>
                            <a:headEnd/>
                            <a:tailEnd/>
                          </a:ln>
                        </pic:spPr>
                      </pic:pic>
                    </a:graphicData>
                  </a:graphic>
                </wp:inline>
              </w:drawing>
            </w:r>
          </w:p>
        </w:tc>
      </w:tr>
    </w:tbl>
    <w:p w:rsidR="0059432E" w:rsidRPr="0059432E" w:rsidRDefault="0059432E" w:rsidP="0059432E">
      <w:pPr>
        <w:spacing w:after="0" w:line="240" w:lineRule="auto"/>
        <w:rPr>
          <w:rFonts w:ascii="Times New Roman" w:eastAsia="Times New Roman" w:hAnsi="Times New Roman" w:cs="Times New Roman"/>
          <w:vanish/>
          <w:sz w:val="24"/>
          <w:szCs w:val="24"/>
          <w:lang w:eastAsia="hr-HR"/>
        </w:rPr>
      </w:pPr>
    </w:p>
    <w:tbl>
      <w:tblPr>
        <w:tblW w:w="0" w:type="dxa"/>
        <w:tblCellSpacing w:w="15" w:type="dxa"/>
        <w:shd w:val="clear" w:color="auto" w:fill="FFFFFF"/>
        <w:tblCellMar>
          <w:left w:w="0" w:type="dxa"/>
          <w:right w:w="0" w:type="dxa"/>
        </w:tblCellMar>
        <w:tblLook w:val="04A0"/>
      </w:tblPr>
      <w:tblGrid>
        <w:gridCol w:w="9162"/>
      </w:tblGrid>
      <w:tr w:rsidR="0059432E" w:rsidRPr="0059432E" w:rsidTr="0059432E">
        <w:trPr>
          <w:trHeight w:val="300"/>
          <w:tblCellSpacing w:w="15" w:type="dxa"/>
        </w:trPr>
        <w:tc>
          <w:tcPr>
            <w:tcW w:w="0" w:type="auto"/>
            <w:shd w:val="clear" w:color="auto" w:fill="FFFFFF"/>
            <w:tcMar>
              <w:top w:w="15" w:type="dxa"/>
              <w:left w:w="15" w:type="dxa"/>
              <w:bottom w:w="15" w:type="dxa"/>
              <w:right w:w="15" w:type="dxa"/>
            </w:tcMar>
            <w:hideMark/>
          </w:tcPr>
          <w:p w:rsidR="0059432E" w:rsidRPr="0059432E" w:rsidRDefault="0059432E" w:rsidP="0059432E">
            <w:pPr>
              <w:spacing w:after="0" w:line="240" w:lineRule="auto"/>
              <w:rPr>
                <w:rFonts w:ascii="Arial" w:eastAsia="Times New Roman" w:hAnsi="Arial" w:cs="Arial"/>
                <w:b/>
                <w:bCs/>
                <w:color w:val="646464"/>
                <w:sz w:val="19"/>
                <w:szCs w:val="19"/>
                <w:lang w:eastAsia="hr-HR"/>
              </w:rPr>
            </w:pPr>
            <w:r w:rsidRPr="0059432E">
              <w:rPr>
                <w:rFonts w:ascii="Arial" w:eastAsia="Times New Roman" w:hAnsi="Arial" w:cs="Arial"/>
                <w:b/>
                <w:bCs/>
                <w:color w:val="646464"/>
                <w:sz w:val="19"/>
                <w:szCs w:val="19"/>
                <w:lang w:eastAsia="hr-HR"/>
              </w:rPr>
              <w:t>Četvrtak, 28 Siječanj 2010 09:24</w:t>
            </w:r>
          </w:p>
        </w:tc>
      </w:tr>
      <w:tr w:rsidR="0059432E" w:rsidRPr="0059432E" w:rsidTr="0059432E">
        <w:trPr>
          <w:tblCellSpacing w:w="15" w:type="dxa"/>
        </w:trPr>
        <w:tc>
          <w:tcPr>
            <w:tcW w:w="0" w:type="auto"/>
            <w:shd w:val="clear" w:color="auto" w:fill="FFFFFF"/>
            <w:tcMar>
              <w:top w:w="15" w:type="dxa"/>
              <w:left w:w="15" w:type="dxa"/>
              <w:bottom w:w="15" w:type="dxa"/>
              <w:right w:w="15" w:type="dxa"/>
            </w:tcMar>
            <w:hideMark/>
          </w:tcPr>
          <w:p w:rsidR="0059432E" w:rsidRPr="0059432E" w:rsidRDefault="0059432E" w:rsidP="0059432E">
            <w:pPr>
              <w:spacing w:before="240" w:after="240" w:line="240" w:lineRule="auto"/>
              <w:rPr>
                <w:rFonts w:ascii="Arial" w:eastAsia="Times New Roman" w:hAnsi="Arial" w:cs="Arial"/>
                <w:color w:val="646464"/>
                <w:sz w:val="20"/>
                <w:szCs w:val="20"/>
                <w:lang w:eastAsia="hr-HR"/>
              </w:rPr>
            </w:pPr>
            <w:r>
              <w:rPr>
                <w:rFonts w:ascii="Arial" w:eastAsia="Times New Roman" w:hAnsi="Arial" w:cs="Arial"/>
                <w:noProof/>
                <w:color w:val="FF3200"/>
                <w:sz w:val="20"/>
                <w:szCs w:val="20"/>
                <w:lang w:eastAsia="hr-HR"/>
              </w:rPr>
              <w:drawing>
                <wp:inline distT="0" distB="0" distL="0" distR="0">
                  <wp:extent cx="1047750" cy="1019175"/>
                  <wp:effectExtent l="19050" t="0" r="0" b="0"/>
                  <wp:docPr id="4" name="Slika 4" descr="znak_za_web_color">
                    <a:hlinkClick xmlns:a="http://schemas.openxmlformats.org/drawingml/2006/main" r:id="rId10" tgtFrame="&quot;_blank&quot;" tooltip="&quot;znak_za_web_colo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nak_za_web_color">
                            <a:hlinkClick r:id="rId10" tgtFrame="&quot;_blank&quot;" tooltip="&quot;znak_za_web_color&quot;"/>
                          </pic:cNvPr>
                          <pic:cNvPicPr>
                            <a:picLocks noChangeAspect="1" noChangeArrowheads="1"/>
                          </pic:cNvPicPr>
                        </pic:nvPicPr>
                        <pic:blipFill>
                          <a:blip r:embed="rId11" cstate="print"/>
                          <a:srcRect/>
                          <a:stretch>
                            <a:fillRect/>
                          </a:stretch>
                        </pic:blipFill>
                        <pic:spPr bwMode="auto">
                          <a:xfrm>
                            <a:off x="0" y="0"/>
                            <a:ext cx="1047750" cy="1019175"/>
                          </a:xfrm>
                          <a:prstGeom prst="rect">
                            <a:avLst/>
                          </a:prstGeom>
                          <a:noFill/>
                          <a:ln w="9525">
                            <a:noFill/>
                            <a:miter lim="800000"/>
                            <a:headEnd/>
                            <a:tailEnd/>
                          </a:ln>
                        </pic:spPr>
                      </pic:pic>
                    </a:graphicData>
                  </a:graphic>
                </wp:inline>
              </w:drawing>
            </w:r>
            <w:r w:rsidRPr="0059432E">
              <w:rPr>
                <w:rFonts w:ascii="Arial" w:eastAsia="Times New Roman" w:hAnsi="Arial" w:cs="Arial"/>
                <w:color w:val="646464"/>
                <w:sz w:val="20"/>
                <w:szCs w:val="20"/>
                <w:lang w:eastAsia="hr-HR"/>
              </w:rPr>
              <w:t>Temeljem odredbi članka 32 i 33. Statuta Udruge pčelara neposrednih proizvođača „Pčelinjak" (u daljnjem tekstu Udruge), Nadzorni odbor Udruge dana 29. prosinca 2009. godine donosi</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b/>
                <w:bCs/>
                <w:color w:val="646464"/>
                <w:sz w:val="20"/>
                <w:lang w:eastAsia="hr-HR"/>
              </w:rPr>
              <w:t>POSLOVNIK O RADU</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b/>
                <w:bCs/>
                <w:color w:val="646464"/>
                <w:sz w:val="20"/>
                <w:lang w:eastAsia="hr-HR"/>
              </w:rPr>
              <w:t>NADZORNOG ODBORA Udruge pčelara neposrednih proizvođača „Pčelinjak"</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proofErr w:type="spellStart"/>
            <w:r w:rsidRPr="0059432E">
              <w:rPr>
                <w:rFonts w:ascii="Arial" w:eastAsia="Times New Roman" w:hAnsi="Arial" w:cs="Arial"/>
                <w:color w:val="646464"/>
                <w:sz w:val="20"/>
                <w:szCs w:val="20"/>
                <w:lang w:eastAsia="hr-HR"/>
              </w:rPr>
              <w:t>I.OPĆE</w:t>
            </w:r>
            <w:proofErr w:type="spellEnd"/>
            <w:r w:rsidRPr="0059432E">
              <w:rPr>
                <w:rFonts w:ascii="Arial" w:eastAsia="Times New Roman" w:hAnsi="Arial" w:cs="Arial"/>
                <w:color w:val="646464"/>
                <w:sz w:val="20"/>
                <w:szCs w:val="20"/>
                <w:lang w:eastAsia="hr-HR"/>
              </w:rPr>
              <w:t xml:space="preserve"> ODREDBE</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Članak 1.</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Ovim se Poslovnikom Nadzornog odbora Udruge (u daljnjem tekstu: Poslovnik) uređuje način rada Nadzornog odbora Udruge (u daljnjem tekstu Nadzorni odbor), a osobito:</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sastav i djelokrug rada</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prava i dužnosti članova</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način sazivanja, tijek i poslovni red sjednice.</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Članak 2.</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Ako pojedino pitanje od važnosti za rad Nadzornog odbora nije uređeno ovim Poslovnikom, to će pitanje urediti Nadzorni odbor posebnim aktom.</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II. SASTAV I DJELOKRUG RADA</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Članak 3.</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Nadzorni odbor ima 3 člana. Nadzorni odbor čine:</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lastRenderedPageBreak/>
              <w:t>-          predsjednik Nadzornog odbora,</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dva izabrana člana Nadzornog odbora.</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Članak 4.</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Mandat članova Nadzornog odbora traje četiri (4) godine, uz mogućnost ponavljanja mandata.</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Članak 5.</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Nadzorni odbor:</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nadzire rad Upravnog odbora,</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nadzire poslovanje Udruge,</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prati poštivanje statutarnih i drugih akata Udruge te kontrolira financijska izvješća Udruge,</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donosi Poslovnik o svom radu,</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radi i druge poslove sukladno Statutu i Programu Udruge, te Poslovniku o svom radu.</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III. PRAVA I DUŽNOSTI ČLANOVA</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Članak 6.</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Član Nadzornog odbora ima pravo i dužnosti:</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prisustvovati sjednicama</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raspravljati i izjašnjavati se o svakom pitanju koje je na dnevnom redu Nadzornog odbora te o njemu odlučivati,</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predlagati Predsjedniku razmatranje pojedinih pitanja iz djelokruga Nadzornog odbora,</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sudjelovati u svim aktivnostima Nadzornog odbora.</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Članak 7.</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lastRenderedPageBreak/>
              <w:t> </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Odredbe u svezi prisustvovanja na sjednicama odbora:</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nemogućnost nazočnosti na sjednici Nadzornog odbora član mora najaviti unaprijed.</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Članak 8.</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Ako zbog nekog izuzetno opravdanog razloga izabrani član Nadzornog odbora ne može više obavljati dužnost člana Nadzornog odbora, Nadzorni  odbor može na prijedlog Predsjednika Nadzornog odbora na njegovo mjesto kooptirati novog člana.</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Kooptirani novi član Nadzornog odbora mora biti potvrđen od strane prve slijedeće Skupštine Udruge.</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Članak 9.</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Član je dužan čuvati tajnost podataka za koje sazna za vrijeme obnašanja članstva u Nadzornom odboru.</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U protivnom podliježe stegovnoj odgovornosti sukladno članku 17. Statuta Udruge.</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Članak 10.</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Članu Nadzornog odbora prestaje mandat prije isteka vremena na koje je izabran:</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ako podnese ostavku, danom podnošenja ostavke na članstvo u Nadzornom odboru,</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istupanjem iz Udruge, danom podnošenja ostavke na članstvo,</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isključenjem, danom konačnosti odluke o isključenju,</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IV. PRAVA I DUŽNOSTI NADZORNOG ODBORA</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Članak 11.</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Nadzorni odbor za svoj rad odgovara Skupštini udruge.</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lastRenderedPageBreak/>
              <w:t> </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Članak 12.</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Nadzorni odbor najmanje jednom godišnje pregledava financijsko poslovanje Udruge i o tome podnosi izvješće Skupštini Udruge.</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V. NAČIN SAZIVANJA, TIJEK I POSLOVNI RED NA SJEDNICI</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Članak 13.</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Nadzorni odbor radi na sjednicama koje saziva Predsjednik Nadzornog odbora.</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Na zahtjev najmanje jednog (1) člana Nadzornog odbora, Predsjednik Nadzornog odbora je dužan sazvati sjednicu i staviti na dnevni red i razmotriti pitanja koja podnositelj zahtjeva traži.</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Članak 14.</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Članu Nadzornog odbora dostavlja se najmanje dva (2) dana prije održavanja sjednice, poziv za sjednicu, prijedlog dnevnog reda i materijal o kojem će se raspravljati na sjednici.</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Iznimno, ako za to postoje opravdani razlozi, članu se materijal za pojedinu točku dnevnog reda može dostaviti naknadno, odnosno na samoj sjednici.</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Članak l5.</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Dnevni red predlaže predsjednik Nadzornog odbora.</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Predsjednik može na samoj sjednici predložiti da se dnevni red dopuni pojedinim predmetom ili da se pojedini predmet izostavi s dnevnog reda.</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Svaki član može tražiti nadopunu dnevnog reda, o kojoj se glasuje.</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Članak 16.</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xml:space="preserve">U radu sjednice kao gosti mogu prisustvovati svi oni kojima je Predsjednik uputio poziv za sjednicu. </w:t>
            </w:r>
            <w:r w:rsidRPr="0059432E">
              <w:rPr>
                <w:rFonts w:ascii="Arial" w:eastAsia="Times New Roman" w:hAnsi="Arial" w:cs="Arial"/>
                <w:color w:val="646464"/>
                <w:sz w:val="20"/>
                <w:szCs w:val="20"/>
                <w:lang w:eastAsia="hr-HR"/>
              </w:rPr>
              <w:lastRenderedPageBreak/>
              <w:t>Gost će biti udaljen sa sjednice ako bude ometao u radu članove Nadzornog odbora.</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Članak 17.</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Nitko ne može govoriti na sjednici prije nego što zatraži i dobije riječ od Predsjednika. Predsjednik se brine da govornik ne bude ometan ili spriječen u govoru. Predsjednik daje članu riječ po redoslijedu prijave.</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Članak 18.</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Govornik može govoriti samo o temi o kojoj se raspravlja i prema utvrđenom dnevnom redu.</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Ako se govornik udalji od teme, Predsjednik će ga opomenuti da se drži teme dnevnog reda.</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Ako se govornik i poslije druge opomene ne drži teme dnevnog reda Predsjednik će mu oduzeti riječ.</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Članak 19.</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Predsjednik otvara i zaključuje sjednicu Nadzornog odbora.</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Nakon otvaranja sjednice, Predsjednik utvrđuje nazočnost članova.</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Ako predsjednik utvrdi da sjednici nije nazočno najmanje dva (2) člana Nadzornog odbora odgađa sjednicu za određeni dan i sat.</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Članak 20.</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Svaki član Nadzornog odbora ima pravo na početku sjednice iznijeti primjedbe na zapisnik s prethodne sjednice. O osnovanosti primjedbe odlučuje se bez rasprave. Ako se primjedba prihvati, u zapisniku će se izvršiti odgovarajuća izmjena.</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Članak 21.</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Na sjednici se o svakom predmetu dnevnog reda najprije raspravlja, a zatim odlučuje, osim ako Nadzorni odbor ne odluči da se o pojedinom predmetu neće raspravljati.</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Predsjednik Nadzornog odbora može odlučiti da se odlučivanje o pojedinoj točki dnevnog reda odgodi za narednu sjednicu.</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lastRenderedPageBreak/>
              <w:t>Predsjednik zaključuje raspravu po pojedinoj točki dnevnog reda kada utvrdi da nema više prijavljenih govornika.</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Po zaključenju rasprave pristupa se glasovanju.</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Članak 22.</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Odluke se donose natpolovičnom većinom glasova članova Nadzornog odbora. Glasovanje je javno.</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Glasovanje se provodi na način da predsjednik Nadzornog odbora poziva članove da se izjasne tko je "ZA" prijedlog, zatim tko je "PROTIV", odnosno da li se tko suzdržava od glasovanja.</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Poimenično glasovanje provodi se na način da Predsjednik poziva članove koji se izjašnjavaju "ZA", "PROTIV", "SUZDRŽAN" od glasovanja.</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Predsjednik objavljuje rezultat glasovanja.</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Članak 23.</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Sjednice Upravnog odbora traju dok se ne iscrpi utvrđeni dnevni red.</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Članak 24.</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O radu sjednice vodi se zapisnik. Zapisnik sadrži osnovne podatke o radu na sjednici, o iznijetim prijedlozima, o sudjelovanju u raspravi te o donesenim odlukama.</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U zapisnik se unosi i rezultat glasovanja o pojedinom predmetu. O izradi zapisnika brine član Nadzornog odbora izabran na sjednici.</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Zapisnik na koji nisu iznesene primjedbe, odnosno zapisnik u kojem su temeljem prihvaćenih primjedbi izvršene odgovarajuće izmjene, smatra se usvojenim.</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Usvojeni zapisnik potpisuje Predsjednik Nadzornog odbora. Zapisnik se arhivira u arhivi Udruge.</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Članak 25.</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Ovaj Poslovnik stupa na snagu danom donošenja.</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 </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lastRenderedPageBreak/>
              <w:t> </w:t>
            </w:r>
          </w:p>
          <w:p w:rsidR="0059432E" w:rsidRPr="0059432E" w:rsidRDefault="0059432E" w:rsidP="0059432E">
            <w:pPr>
              <w:spacing w:before="240" w:after="240" w:line="240" w:lineRule="auto"/>
              <w:rPr>
                <w:rFonts w:ascii="Arial" w:eastAsia="Times New Roman" w:hAnsi="Arial" w:cs="Arial"/>
                <w:color w:val="646464"/>
                <w:sz w:val="20"/>
                <w:szCs w:val="20"/>
                <w:lang w:eastAsia="hr-HR"/>
              </w:rPr>
            </w:pPr>
            <w:r w:rsidRPr="0059432E">
              <w:rPr>
                <w:rFonts w:ascii="Arial" w:eastAsia="Times New Roman" w:hAnsi="Arial" w:cs="Arial"/>
                <w:color w:val="646464"/>
                <w:sz w:val="20"/>
                <w:szCs w:val="20"/>
                <w:lang w:eastAsia="hr-HR"/>
              </w:rPr>
              <w:t>U Zagrebu, 29. prosinca 2009. godine.</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b/>
                <w:bCs/>
                <w:color w:val="646464"/>
                <w:sz w:val="20"/>
                <w:lang w:eastAsia="hr-HR"/>
              </w:rPr>
              <w:t>Josip Dolenec</w:t>
            </w:r>
          </w:p>
          <w:p w:rsidR="0059432E" w:rsidRPr="0059432E" w:rsidRDefault="0059432E" w:rsidP="0059432E">
            <w:pPr>
              <w:spacing w:before="240" w:after="240" w:line="240" w:lineRule="auto"/>
              <w:jc w:val="center"/>
              <w:rPr>
                <w:rFonts w:ascii="Arial" w:eastAsia="Times New Roman" w:hAnsi="Arial" w:cs="Arial"/>
                <w:color w:val="646464"/>
                <w:sz w:val="20"/>
                <w:szCs w:val="20"/>
                <w:lang w:eastAsia="hr-HR"/>
              </w:rPr>
            </w:pPr>
            <w:r w:rsidRPr="0059432E">
              <w:rPr>
                <w:rFonts w:ascii="Arial" w:eastAsia="Times New Roman" w:hAnsi="Arial" w:cs="Arial"/>
                <w:b/>
                <w:bCs/>
                <w:color w:val="646464"/>
                <w:sz w:val="20"/>
                <w:lang w:eastAsia="hr-HR"/>
              </w:rPr>
              <w:t>Predsjednik Nadzornog odbora UP „Pčelinjak"</w:t>
            </w:r>
          </w:p>
        </w:tc>
      </w:tr>
    </w:tbl>
    <w:p w:rsidR="00D731E5" w:rsidRDefault="00D731E5"/>
    <w:sectPr w:rsidR="00D731E5" w:rsidSect="00D731E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9432E"/>
    <w:rsid w:val="0059432E"/>
    <w:rsid w:val="00D731E5"/>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E5"/>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59432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59432E"/>
    <w:rPr>
      <w:b/>
      <w:bCs/>
    </w:rPr>
  </w:style>
  <w:style w:type="paragraph" w:styleId="Tekstbalonia">
    <w:name w:val="Balloon Text"/>
    <w:basedOn w:val="Normal"/>
    <w:link w:val="TekstbaloniaChar"/>
    <w:uiPriority w:val="99"/>
    <w:semiHidden/>
    <w:unhideWhenUsed/>
    <w:rsid w:val="0059432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943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009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celinjak.hr/OLD/index.php/component/option,com_mailto/link,1589889b779ace9ff69acbd2323a46322684426d/tmpl,componen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celinjak.hr/OLD/index.php/Dokumenti-Udruge/poslovnik-nadzornog-odbora/Ispis.html" TargetMode="External"/><Relationship Id="rId11" Type="http://schemas.openxmlformats.org/officeDocument/2006/relationships/image" Target="media/image4.jpeg"/><Relationship Id="rId5" Type="http://schemas.openxmlformats.org/officeDocument/2006/relationships/image" Target="media/image1.png"/><Relationship Id="rId10" Type="http://schemas.openxmlformats.org/officeDocument/2006/relationships/hyperlink" Target="http://www.pcelinjak.hr/OLD/images/stories/udruga/naljepnice_udruge/znak_za_web_color.jpg" TargetMode="External"/><Relationship Id="rId4" Type="http://schemas.openxmlformats.org/officeDocument/2006/relationships/hyperlink" Target="http://www.pcelinjak.hr/OLD/index.php/pdf/Dokumenti-Udruge/poslovnik-nadzornog-odbora.pdf" TargetMode="Externa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1055</Words>
  <Characters>6018</Characters>
  <Application>Microsoft Office Word</Application>
  <DocSecurity>0</DocSecurity>
  <Lines>50</Lines>
  <Paragraphs>14</Paragraphs>
  <ScaleCrop>false</ScaleCrop>
  <Company>Grizli777</Company>
  <LinksUpToDate>false</LinksUpToDate>
  <CharactersWithSpaces>7059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 happy</dc:creator>
  <cp:lastModifiedBy>bee happy</cp:lastModifiedBy>
  <cp:revision>1</cp:revision>
  <dcterms:created xsi:type="dcterms:W3CDTF">2018-05-08T18:42:00Z</dcterms:created>
  <dcterms:modified xsi:type="dcterms:W3CDTF">2018-05-08T18:42:00Z</dcterms:modified>
</cp:coreProperties>
</file>